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0"/>
        <w:tabs>
          <w:tab w:val="right" w:pos="9639"/>
        </w:tabs>
        <w:spacing w:after="0"/>
        <w:rPr>
          <w:b/>
          <w:i/>
          <w:sz w:val="28"/>
        </w:rPr>
      </w:pPr>
      <w:r>
        <w:rPr>
          <w:b/>
          <w:sz w:val="24"/>
        </w:rPr>
        <w:t>3GPP TSG-RAN2 Meeting #104</w:t>
      </w:r>
      <w:r>
        <w:rPr>
          <w:b/>
          <w:i/>
          <w:sz w:val="24"/>
        </w:rPr>
        <w:t xml:space="preserve"> </w:t>
      </w:r>
      <w:r>
        <w:rPr>
          <w:b/>
          <w:i/>
          <w:sz w:val="28"/>
        </w:rPr>
        <w:tab/>
      </w:r>
      <w:r>
        <w:rPr>
          <w:b/>
          <w:i/>
          <w:sz w:val="28"/>
        </w:rPr>
        <w:t>R2-1816851</w:t>
      </w:r>
    </w:p>
    <w:p>
      <w:pPr>
        <w:pStyle w:val="280"/>
        <w:tabs>
          <w:tab w:val="right" w:pos="9639"/>
        </w:tabs>
        <w:ind w:left="284" w:hanging="284"/>
        <w:outlineLvl w:val="0"/>
        <w:rPr>
          <w:b/>
          <w:sz w:val="24"/>
        </w:rPr>
      </w:pPr>
      <w:r>
        <w:rPr>
          <w:b/>
          <w:sz w:val="24"/>
        </w:rPr>
        <w:t>Spokane, USA, 12th - 16th Nov 2018</w:t>
      </w:r>
      <w:r>
        <w:rPr>
          <w:b/>
          <w:sz w:val="24"/>
        </w:rPr>
        <w:tab/>
      </w:r>
    </w:p>
    <w:p>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hint="eastAsia" w:ascii="Arial" w:hAnsi="Arial" w:cs="Arial"/>
          <w:b/>
          <w:bCs/>
          <w:color w:val="9A9B9D" w:themeColor="background2" w:themeTint="99"/>
          <w:kern w:val="0"/>
          <w:sz w:val="24"/>
          <w:lang w:val="en-GB"/>
        </w:rPr>
        <w:t xml:space="preserve"> </w:t>
      </w:r>
      <w:r>
        <w:rPr>
          <w:rFonts w:hint="eastAsia" w:ascii="Arial" w:hAnsi="Arial" w:cs="Arial"/>
          <w:b/>
          <w:bCs/>
          <w:color w:val="9A9B9D" w:themeColor="background2" w:themeTint="99"/>
          <w:kern w:val="0"/>
          <w:sz w:val="28"/>
          <w:szCs w:val="28"/>
        </w:rPr>
        <w:tab/>
      </w:r>
      <w:r>
        <w:rPr>
          <w:rFonts w:hint="eastAsia" w:ascii="Arial" w:hAnsi="Arial" w:cs="Arial"/>
          <w:b/>
          <w:bCs/>
          <w:kern w:val="0"/>
          <w:sz w:val="28"/>
          <w:szCs w:val="28"/>
        </w:rPr>
        <w:tab/>
      </w:r>
      <w:r>
        <w:rPr>
          <w:rFonts w:hint="eastAsia" w:ascii="Arial" w:hAnsi="Arial" w:cs="Arial"/>
          <w:b/>
          <w:bCs/>
          <w:kern w:val="0"/>
          <w:sz w:val="28"/>
          <w:szCs w:val="28"/>
        </w:rPr>
        <w:tab/>
      </w:r>
      <w:r>
        <w:rPr>
          <w:rFonts w:hint="eastAsia" w:ascii="Arial" w:hAnsi="Arial" w:cs="Arial"/>
          <w:b/>
          <w:bCs/>
          <w:kern w:val="0"/>
          <w:sz w:val="28"/>
          <w:szCs w:val="28"/>
        </w:rPr>
        <w:tab/>
      </w:r>
      <w:r>
        <w:rPr>
          <w:rFonts w:hint="eastAsia" w:ascii="Arial" w:hAnsi="Arial" w:cs="Arial"/>
          <w:b/>
          <w:bCs/>
          <w:kern w:val="0"/>
          <w:sz w:val="28"/>
          <w:szCs w:val="28"/>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w:t>
      </w:r>
      <w:r>
        <w:rPr>
          <w:rFonts w:hint="eastAsia" w:ascii="Arial" w:hAnsi="Arial" w:cs="Arial"/>
          <w:b/>
          <w:bCs/>
          <w:snapToGrid w:val="0"/>
          <w:kern w:val="0"/>
          <w:sz w:val="24"/>
        </w:rPr>
        <w:t xml:space="preserve"> Corporation, Sanechips</w:t>
      </w:r>
    </w:p>
    <w:p>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Discussion on cell level rate matching parameters</w:t>
      </w:r>
      <w:r>
        <w:rPr>
          <w:rFonts w:hint="eastAsia" w:ascii="Arial" w:hAnsi="Arial" w:cs="Arial"/>
          <w:b/>
          <w:bCs/>
          <w:snapToGrid w:val="0"/>
          <w:kern w:val="0"/>
          <w:sz w:val="24"/>
        </w:rPr>
        <w:t xml:space="preserve"> </w:t>
      </w:r>
      <w:r>
        <w:rPr>
          <w:rFonts w:ascii="Arial" w:hAnsi="Arial" w:cs="Arial"/>
          <w:b/>
          <w:bCs/>
          <w:snapToGrid w:val="0"/>
          <w:kern w:val="0"/>
          <w:sz w:val="24"/>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 xml:space="preserve">10.4.1.3.1.1 </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rPr>
          <w:sz w:val="20"/>
          <w:szCs w:val="20"/>
          <w:lang w:val="en-GB"/>
        </w:rPr>
      </w:pPr>
      <w:r>
        <w:rPr>
          <w:rFonts w:hint="eastAsia"/>
          <w:sz w:val="20"/>
          <w:szCs w:val="20"/>
        </w:rPr>
        <w:t xml:space="preserve">In this contribution, we </w:t>
      </w:r>
      <w:r>
        <w:rPr>
          <w:sz w:val="20"/>
          <w:szCs w:val="20"/>
        </w:rPr>
        <w:t>further address</w:t>
      </w:r>
      <w:r>
        <w:rPr>
          <w:rFonts w:hint="eastAsia"/>
          <w:sz w:val="20"/>
          <w:szCs w:val="20"/>
        </w:rPr>
        <w:t xml:space="preserve"> the</w:t>
      </w:r>
      <w:r>
        <w:rPr>
          <w:sz w:val="20"/>
          <w:szCs w:val="20"/>
        </w:rPr>
        <w:t xml:space="preserve"> issue with cell level rate matching parameters already discussed at RAN2#103bis.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p>
      <w:pPr>
        <w:pStyle w:val="54"/>
        <w:shd w:val="clear" w:color="auto"/>
        <w:spacing w:beforeLines="0" w:beforeAutospacing="0" w:after="240" w:afterAutospacing="0" w:line="230" w:lineRule="atLeast"/>
        <w:jc w:val="both"/>
        <w:rPr>
          <w:sz w:val="20"/>
          <w:szCs w:val="20"/>
        </w:rPr>
      </w:pPr>
      <w:r>
        <w:rPr>
          <w:sz w:val="20"/>
          <w:szCs w:val="20"/>
        </w:rPr>
        <w:t>At RAN2#103bis a CR introducing cell level rate matching parameters in ServingCellConfig [1] was postponed to the next meeting.</w:t>
      </w:r>
      <w:bookmarkStart w:id="2" w:name="_GoBack"/>
      <w:bookmarkEnd w:id="2"/>
    </w:p>
    <w:p>
      <w:pPr>
        <w:pStyle w:val="54"/>
        <w:shd w:val="clear" w:color="auto"/>
        <w:spacing w:beforeLines="0" w:beforeAutospacing="0" w:after="240" w:afterAutospacing="0" w:line="230" w:lineRule="atLeast"/>
        <w:jc w:val="both"/>
        <w:rPr>
          <w:sz w:val="20"/>
          <w:szCs w:val="20"/>
          <w:shd w:val="clear" w:color="auto" w:fill="FFFFFF"/>
        </w:rPr>
      </w:pPr>
      <w:r>
        <w:rPr>
          <w:sz w:val="20"/>
          <w:szCs w:val="20"/>
        </w:rPr>
        <w:t>After the discussion at RAN2#103bis, we understand that</w:t>
      </w:r>
      <w:r>
        <w:rPr>
          <w:sz w:val="20"/>
          <w:szCs w:val="20"/>
          <w:shd w:val="clear" w:color="auto" w:fill="FFFFFF"/>
        </w:rPr>
        <w:t xml:space="preserve"> all companies agree on the main proposal, i.e. to introduce cell level rate-matching parameters in ServingCellConfig, in order to avoid unnecessary reconfigurationWithSync. But there seems to be some different views on how this should be done.</w:t>
      </w:r>
    </w:p>
    <w:p>
      <w:pPr>
        <w:pStyle w:val="54"/>
        <w:shd w:val="clear" w:color="auto"/>
        <w:spacing w:beforeLines="0" w:beforeAutospacing="0" w:after="0" w:afterAutospacing="0" w:line="230" w:lineRule="atLeast"/>
        <w:jc w:val="both"/>
        <w:rPr>
          <w:sz w:val="20"/>
          <w:szCs w:val="20"/>
        </w:rPr>
      </w:pPr>
      <w:r>
        <w:rPr>
          <w:sz w:val="20"/>
          <w:szCs w:val="20"/>
          <w:shd w:val="clear" w:color="auto" w:fill="FFFFFF"/>
        </w:rPr>
        <w:t xml:space="preserve">First of all, based on the comments received during RAN2#103bis, the 38.331 CR has been revised in [2], to reflect the following changes: </w:t>
      </w:r>
    </w:p>
    <w:p>
      <w:pPr>
        <w:pStyle w:val="54"/>
        <w:numPr>
          <w:ilvl w:val="0"/>
          <w:numId w:val="4"/>
        </w:numPr>
        <w:shd w:val="clear" w:color="auto"/>
        <w:spacing w:beforeLines="0" w:beforeAutospacing="0" w:after="0" w:afterAutospacing="0" w:line="230" w:lineRule="atLeast"/>
        <w:jc w:val="both"/>
        <w:rPr>
          <w:sz w:val="20"/>
          <w:szCs w:val="20"/>
        </w:rPr>
      </w:pPr>
      <w:r>
        <w:rPr>
          <w:sz w:val="20"/>
          <w:szCs w:val="20"/>
          <w:shd w:val="clear" w:color="auto" w:fill="FFFFFF"/>
        </w:rPr>
        <w:t>remove the previously suggested restrictions on the configuration of the rate matching parameters in ServingCellConfigCommon (as the network can also configure the parameters in ServingCellConfigCommon in case of SCells or PSCell)</w:t>
      </w:r>
    </w:p>
    <w:p>
      <w:pPr>
        <w:pStyle w:val="54"/>
        <w:numPr>
          <w:ilvl w:val="0"/>
          <w:numId w:val="4"/>
        </w:numPr>
        <w:shd w:val="clear" w:color="auto"/>
        <w:spacing w:beforeLines="0" w:beforeAutospacing="0" w:after="240" w:afterAutospacing="0" w:line="230" w:lineRule="atLeast"/>
        <w:jc w:val="both"/>
        <w:rPr>
          <w:sz w:val="20"/>
          <w:szCs w:val="20"/>
        </w:rPr>
      </w:pPr>
      <w:r>
        <w:rPr>
          <w:sz w:val="20"/>
          <w:szCs w:val="20"/>
          <w:shd w:val="clear" w:color="auto" w:fill="FFFFFF"/>
        </w:rPr>
        <w:t>remove the previously suggested condition on the configuration of the rate matching parameters in ServingCellConfig. The intention is to introduce additional changes in TS 38.306 rather than TS 38.331 (as discussed in the following).  </w:t>
      </w:r>
    </w:p>
    <w:p>
      <w:pPr>
        <w:pStyle w:val="54"/>
        <w:shd w:val="clear" w:color="auto"/>
        <w:spacing w:beforeLines="0" w:beforeAutospacing="0" w:after="240" w:afterAutospacing="0" w:line="276" w:lineRule="atLeast"/>
        <w:jc w:val="both"/>
        <w:rPr>
          <w:sz w:val="20"/>
          <w:szCs w:val="20"/>
        </w:rPr>
      </w:pPr>
      <w:r>
        <w:rPr>
          <w:sz w:val="20"/>
          <w:szCs w:val="20"/>
        </w:rPr>
        <w:t>If this approach is acceptable, then the real discussion is on the related UE capabilities. </w:t>
      </w:r>
    </w:p>
    <w:p>
      <w:pPr>
        <w:pStyle w:val="54"/>
        <w:shd w:val="clear" w:color="auto"/>
        <w:spacing w:beforeLines="0" w:beforeAutospacing="0" w:after="240" w:afterAutospacing="0" w:line="276" w:lineRule="atLeast"/>
        <w:jc w:val="both"/>
        <w:rPr>
          <w:sz w:val="20"/>
          <w:szCs w:val="20"/>
        </w:rPr>
      </w:pPr>
      <w:r>
        <w:rPr>
          <w:sz w:val="20"/>
          <w:szCs w:val="20"/>
        </w:rPr>
        <w:t>In the Annex the relevant rate-matching UE features (as defined by RAN1) are shown. As it can be seen, "semi-static rate-matching" and "rate-matching around LTE CRS" are defined as "Mandatory with capability signalling". Regarding "semi-static" and "dynamic" rate-matching, both "cell-level" and "bwp-level" semi-static and dynamic rate-matching are possible.</w:t>
      </w:r>
    </w:p>
    <w:tbl>
      <w:tblPr>
        <w:tblStyle w:val="65"/>
        <w:tblW w:w="6660" w:type="dxa"/>
        <w:jc w:val="center"/>
        <w:tblInd w:w="0" w:type="dxa"/>
        <w:shd w:val="clear" w:color="auto" w:fill="auto"/>
        <w:tblLayout w:type="fixed"/>
        <w:tblCellMar>
          <w:top w:w="15" w:type="dxa"/>
          <w:left w:w="15" w:type="dxa"/>
          <w:bottom w:w="15" w:type="dxa"/>
          <w:right w:w="15" w:type="dxa"/>
        </w:tblCellMar>
      </w:tblPr>
      <w:tblGrid>
        <w:gridCol w:w="1575"/>
        <w:gridCol w:w="2775"/>
        <w:gridCol w:w="2310"/>
      </w:tblGrid>
      <w:tr>
        <w:tblPrEx>
          <w:shd w:val="clear" w:color="auto" w:fill="auto"/>
          <w:tblLayout w:type="fixed"/>
        </w:tblPrEx>
        <w:trPr>
          <w:jc w:val="center"/>
        </w:trPr>
        <w:tc>
          <w:tcPr>
            <w:tcW w:w="1575"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shd w:val="clear"/>
              <w:wordWrap w:val="0"/>
              <w:spacing w:beforeLines="0" w:after="0" w:line="230" w:lineRule="atLeast"/>
              <w:rPr>
                <w:sz w:val="20"/>
                <w:szCs w:val="20"/>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shd w:val="clear"/>
              <w:wordWrap w:val="0"/>
              <w:spacing w:beforeLines="0" w:after="0" w:line="230" w:lineRule="atLeast"/>
              <w:rPr>
                <w:sz w:val="20"/>
                <w:szCs w:val="20"/>
              </w:rPr>
            </w:pPr>
            <w:r>
              <w:rPr>
                <w:sz w:val="20"/>
                <w:szCs w:val="20"/>
              </w:rPr>
              <w:t>semi-static</w:t>
            </w:r>
          </w:p>
        </w:tc>
        <w:tc>
          <w:tcPr>
            <w:tcW w:w="2310"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shd w:val="clear"/>
              <w:wordWrap w:val="0"/>
              <w:spacing w:beforeLines="0" w:after="0" w:line="230" w:lineRule="atLeast"/>
              <w:rPr>
                <w:sz w:val="20"/>
                <w:szCs w:val="20"/>
              </w:rPr>
            </w:pPr>
            <w:r>
              <w:rPr>
                <w:sz w:val="20"/>
                <w:szCs w:val="20"/>
              </w:rPr>
              <w:t>dynamic</w:t>
            </w:r>
          </w:p>
        </w:tc>
      </w:tr>
      <w:tr>
        <w:tblPrEx>
          <w:tblLayout w:type="fixed"/>
          <w:tblCellMar>
            <w:top w:w="15" w:type="dxa"/>
            <w:left w:w="15" w:type="dxa"/>
            <w:bottom w:w="15" w:type="dxa"/>
            <w:right w:w="15" w:type="dxa"/>
          </w:tblCellMar>
        </w:tblPrEx>
        <w:trPr>
          <w:jc w:val="center"/>
        </w:trPr>
        <w:tc>
          <w:tcPr>
            <w:tcW w:w="1575"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shd w:val="clear"/>
              <w:wordWrap w:val="0"/>
              <w:spacing w:beforeLines="0" w:after="0" w:line="230" w:lineRule="atLeast"/>
              <w:rPr>
                <w:sz w:val="20"/>
                <w:szCs w:val="20"/>
              </w:rPr>
            </w:pPr>
            <w:r>
              <w:rPr>
                <w:sz w:val="20"/>
                <w:szCs w:val="20"/>
              </w:rPr>
              <w:t>cell-level</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pStyle w:val="54"/>
              <w:shd w:val="clear"/>
              <w:wordWrap w:val="0"/>
              <w:spacing w:beforeLines="0" w:beforeAutospacing="0" w:after="0" w:afterAutospacing="0" w:line="230" w:lineRule="atLeast"/>
              <w:jc w:val="both"/>
              <w:rPr>
                <w:sz w:val="20"/>
                <w:szCs w:val="20"/>
              </w:rPr>
            </w:pPr>
            <w:r>
              <w:rPr>
                <w:sz w:val="20"/>
                <w:szCs w:val="20"/>
              </w:rPr>
              <w:t>cell-level semi-static</w:t>
            </w:r>
          </w:p>
        </w:tc>
        <w:tc>
          <w:tcPr>
            <w:tcW w:w="2310"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shd w:val="clear"/>
              <w:wordWrap w:val="0"/>
              <w:spacing w:beforeLines="0" w:after="0" w:line="230" w:lineRule="atLeast"/>
              <w:rPr>
                <w:sz w:val="20"/>
                <w:szCs w:val="20"/>
              </w:rPr>
            </w:pPr>
            <w:r>
              <w:rPr>
                <w:sz w:val="20"/>
                <w:szCs w:val="20"/>
              </w:rPr>
              <w:t>cell-level dynamic</w:t>
            </w:r>
          </w:p>
        </w:tc>
      </w:tr>
      <w:tr>
        <w:tblPrEx>
          <w:tblLayout w:type="fixed"/>
          <w:tblCellMar>
            <w:top w:w="15" w:type="dxa"/>
            <w:left w:w="15" w:type="dxa"/>
            <w:bottom w:w="15" w:type="dxa"/>
            <w:right w:w="15" w:type="dxa"/>
          </w:tblCellMar>
        </w:tblPrEx>
        <w:trPr>
          <w:jc w:val="center"/>
        </w:trPr>
        <w:tc>
          <w:tcPr>
            <w:tcW w:w="1575"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shd w:val="clear"/>
              <w:wordWrap w:val="0"/>
              <w:spacing w:beforeLines="0" w:after="0" w:line="230" w:lineRule="atLeast"/>
              <w:rPr>
                <w:sz w:val="20"/>
                <w:szCs w:val="20"/>
              </w:rPr>
            </w:pPr>
            <w:r>
              <w:rPr>
                <w:sz w:val="20"/>
                <w:szCs w:val="20"/>
              </w:rPr>
              <w:t>bwp-level</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shd w:val="clear"/>
              <w:wordWrap w:val="0"/>
              <w:spacing w:beforeLines="0" w:after="0" w:line="230" w:lineRule="atLeast"/>
              <w:rPr>
                <w:sz w:val="20"/>
                <w:szCs w:val="20"/>
              </w:rPr>
            </w:pPr>
            <w:r>
              <w:rPr>
                <w:sz w:val="20"/>
                <w:szCs w:val="20"/>
              </w:rPr>
              <w:t>bwp-level semi-static</w:t>
            </w:r>
          </w:p>
        </w:tc>
        <w:tc>
          <w:tcPr>
            <w:tcW w:w="2310"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shd w:val="clear"/>
              <w:wordWrap w:val="0"/>
              <w:spacing w:beforeLines="0" w:after="0" w:line="230" w:lineRule="atLeast"/>
              <w:rPr>
                <w:sz w:val="20"/>
                <w:szCs w:val="20"/>
              </w:rPr>
            </w:pPr>
            <w:r>
              <w:rPr>
                <w:sz w:val="20"/>
                <w:szCs w:val="20"/>
              </w:rPr>
              <w:t>bwp-level dynamic</w:t>
            </w:r>
            <w:r>
              <w:rPr>
                <w:sz w:val="20"/>
                <w:szCs w:val="20"/>
                <w:shd w:val="clear" w:color="auto" w:fill="FFFFFF"/>
              </w:rPr>
              <w:t>  </w:t>
            </w:r>
          </w:p>
        </w:tc>
      </w:tr>
    </w:tbl>
    <w:p>
      <w:pPr>
        <w:pStyle w:val="54"/>
        <w:shd w:val="clear" w:color="auto"/>
        <w:spacing w:before="156" w:beforeAutospacing="0" w:after="240" w:afterAutospacing="0" w:line="276" w:lineRule="atLeast"/>
        <w:jc w:val="both"/>
        <w:rPr>
          <w:sz w:val="20"/>
          <w:szCs w:val="20"/>
        </w:rPr>
      </w:pPr>
      <w:r>
        <w:rPr>
          <w:sz w:val="20"/>
          <w:szCs w:val="20"/>
        </w:rPr>
        <w:t>Considering that semi-static rate-matching is marked by RAN1 as "Mandatory with capability signalling", it implies that support of cell-level semi-static rate-matching is also mandatory.</w:t>
      </w:r>
    </w:p>
    <w:p>
      <w:pPr>
        <w:pStyle w:val="54"/>
        <w:shd w:val="clear" w:color="auto"/>
        <w:spacing w:before="156" w:beforeAutospacing="0" w:after="0" w:afterAutospacing="0" w:line="276" w:lineRule="atLeast"/>
        <w:jc w:val="both"/>
        <w:rPr>
          <w:sz w:val="20"/>
          <w:szCs w:val="20"/>
          <w:u w:val="single"/>
        </w:rPr>
      </w:pPr>
      <w:r>
        <w:rPr>
          <w:b/>
          <w:bCs/>
          <w:sz w:val="20"/>
          <w:szCs w:val="20"/>
          <w:u w:val="single"/>
        </w:rPr>
        <w:t>Issue1:  Which UEs should support the new fields in ServingCellConfig</w:t>
      </w:r>
    </w:p>
    <w:p>
      <w:pPr>
        <w:pStyle w:val="54"/>
        <w:shd w:val="clear" w:color="auto"/>
        <w:spacing w:before="156" w:beforeAutospacing="0" w:after="0" w:afterAutospacing="0" w:line="276" w:lineRule="atLeast"/>
        <w:jc w:val="both"/>
        <w:rPr>
          <w:sz w:val="20"/>
          <w:szCs w:val="20"/>
        </w:rPr>
      </w:pPr>
      <w:r>
        <w:rPr>
          <w:sz w:val="20"/>
          <w:szCs w:val="20"/>
        </w:rPr>
        <w:t>As discussed during the last meeting, it is not necessary to mandate EN-DC UEs to support the new fields in ServingCellConfig. </w:t>
      </w:r>
    </w:p>
    <w:p>
      <w:pPr>
        <w:pStyle w:val="54"/>
        <w:shd w:val="clear" w:color="auto"/>
        <w:spacing w:before="156" w:beforeAutospacing="0" w:after="0" w:afterAutospacing="0" w:line="276" w:lineRule="atLeast"/>
        <w:jc w:val="both"/>
        <w:rPr>
          <w:sz w:val="20"/>
          <w:szCs w:val="20"/>
        </w:rPr>
      </w:pPr>
      <w:r>
        <w:rPr>
          <w:sz w:val="20"/>
          <w:szCs w:val="20"/>
        </w:rPr>
        <w:t>For SA UEs and other MR-DC UEs, the network should know whether the UE supports the new fields in order to take a suitable action. </w:t>
      </w:r>
    </w:p>
    <w:p>
      <w:pPr>
        <w:pStyle w:val="54"/>
        <w:shd w:val="clear" w:color="auto"/>
        <w:spacing w:before="156" w:beforeAutospacing="0" w:after="0" w:afterAutospacing="0" w:line="276" w:lineRule="atLeast"/>
        <w:jc w:val="both"/>
        <w:rPr>
          <w:sz w:val="20"/>
          <w:szCs w:val="20"/>
        </w:rPr>
      </w:pPr>
      <w:r>
        <w:rPr>
          <w:sz w:val="20"/>
          <w:szCs w:val="20"/>
        </w:rPr>
        <w:t>However, if a SA UE does not support the new fields, the alternative is a reconfigurationWithSync, which is really a bad solution impacting the overall system performance. We would then like to encourage companies to consider the mandatory support of the new fields for SA UEs (with no additional capability signalling).</w:t>
      </w:r>
    </w:p>
    <w:p>
      <w:pPr>
        <w:pStyle w:val="54"/>
        <w:shd w:val="clear" w:color="auto"/>
        <w:spacing w:before="156" w:beforeAutospacing="0" w:after="240" w:afterAutospacing="0" w:line="276" w:lineRule="atLeast"/>
        <w:jc w:val="both"/>
        <w:rPr>
          <w:sz w:val="20"/>
          <w:szCs w:val="20"/>
        </w:rPr>
      </w:pPr>
      <w:r>
        <w:rPr>
          <w:rStyle w:val="57"/>
          <w:sz w:val="20"/>
          <w:szCs w:val="20"/>
        </w:rPr>
        <w:t>Proposal 1: All SA UEs shall support the cell level rate-matching parameters in ServingCellConfig. Inform RAN1 about this decision.</w:t>
      </w:r>
    </w:p>
    <w:p>
      <w:pPr>
        <w:pStyle w:val="54"/>
        <w:shd w:val="clear" w:color="auto"/>
        <w:spacing w:before="156" w:beforeAutospacing="0" w:after="0" w:afterAutospacing="0" w:line="276" w:lineRule="atLeast"/>
        <w:jc w:val="both"/>
        <w:rPr>
          <w:sz w:val="20"/>
          <w:szCs w:val="20"/>
          <w:u w:val="single"/>
        </w:rPr>
      </w:pPr>
      <w:r>
        <w:rPr>
          <w:b/>
          <w:bCs/>
          <w:sz w:val="20"/>
          <w:szCs w:val="20"/>
          <w:u w:val="single"/>
        </w:rPr>
        <w:t>Issue2: Whether the network can configure ServingCellConfig including rate matching fields in Msg4</w:t>
      </w:r>
    </w:p>
    <w:p>
      <w:pPr>
        <w:pStyle w:val="54"/>
        <w:shd w:val="clear" w:color="auto"/>
        <w:spacing w:before="156" w:beforeAutospacing="0" w:after="0" w:afterAutospacing="0" w:line="276" w:lineRule="atLeast"/>
        <w:jc w:val="both"/>
        <w:rPr>
          <w:sz w:val="20"/>
          <w:szCs w:val="20"/>
        </w:rPr>
      </w:pPr>
      <w:r>
        <w:rPr>
          <w:sz w:val="20"/>
          <w:szCs w:val="20"/>
        </w:rPr>
        <w:t>RAN1 agreed that rate-matching is applicable to PDSCH scheduled by PDCCH with CRC scrambled by C-RNTI, MCS-C-RNTI, CS-RNTI, or PDSCH with SPS. If the rate-matching parameters can be only be configured after obtaining the UE capabilities (i.e. in first RRCReconfiguration), it means that the UE is unable to perform rate-matching for the previous RRC messages. In our understanding, it is highly beneficial to enable rate-matching as soon as possible. </w:t>
      </w:r>
      <w:r>
        <w:rPr>
          <w:sz w:val="20"/>
          <w:szCs w:val="20"/>
          <w:shd w:val="clear" w:color="auto" w:fill="FFFFFF"/>
        </w:rPr>
        <w:t>We would then like to encourage companies to consider the possibility for the network to configure the cell-level rate-matching parameters in Msg4 (also meaning that there might be no need for capability signalling).</w:t>
      </w:r>
    </w:p>
    <w:p>
      <w:pPr>
        <w:pStyle w:val="54"/>
        <w:shd w:val="clear" w:color="auto"/>
        <w:spacing w:before="156" w:beforeAutospacing="0" w:after="240" w:afterAutospacing="0" w:line="276" w:lineRule="atLeast"/>
        <w:jc w:val="both"/>
        <w:rPr>
          <w:sz w:val="20"/>
          <w:szCs w:val="20"/>
        </w:rPr>
      </w:pPr>
      <w:r>
        <w:rPr>
          <w:rStyle w:val="57"/>
          <w:sz w:val="20"/>
          <w:szCs w:val="20"/>
        </w:rPr>
        <w:t>Proposal 2: The network can configure cell-level rate-matching parameters in ServingCellConfig in Msg4. </w:t>
      </w:r>
      <w:r>
        <w:rPr>
          <w:rStyle w:val="57"/>
          <w:sz w:val="20"/>
          <w:szCs w:val="20"/>
          <w:shd w:val="clear" w:color="auto" w:fill="FFFFFF"/>
        </w:rPr>
        <w:t>Inform RAN1 about this decision.</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rPr>
          <w:sz w:val="20"/>
          <w:szCs w:val="20"/>
        </w:rPr>
      </w:pPr>
      <w:r>
        <w:rPr>
          <w:sz w:val="20"/>
          <w:szCs w:val="20"/>
        </w:rPr>
        <w:t>The following proposals are suggested:</w:t>
      </w:r>
    </w:p>
    <w:p>
      <w:pPr>
        <w:pStyle w:val="54"/>
        <w:shd w:val="clear" w:color="auto"/>
        <w:spacing w:before="156" w:beforeAutospacing="0" w:after="240" w:afterAutospacing="0" w:line="276" w:lineRule="atLeast"/>
        <w:jc w:val="both"/>
        <w:rPr>
          <w:sz w:val="20"/>
          <w:szCs w:val="20"/>
        </w:rPr>
      </w:pPr>
      <w:r>
        <w:rPr>
          <w:rStyle w:val="57"/>
          <w:sz w:val="20"/>
          <w:szCs w:val="20"/>
        </w:rPr>
        <w:t>Proposal 1: All SA UEs shall support the cell level rate-matching parameters in ServingCellConfig. Inform RAN1 about this decision.</w:t>
      </w:r>
    </w:p>
    <w:p>
      <w:pPr>
        <w:pStyle w:val="54"/>
        <w:shd w:val="clear" w:color="auto"/>
        <w:spacing w:before="156" w:beforeAutospacing="0" w:after="240" w:afterAutospacing="0" w:line="276" w:lineRule="atLeast"/>
        <w:jc w:val="both"/>
        <w:rPr>
          <w:sz w:val="20"/>
          <w:szCs w:val="20"/>
        </w:rPr>
      </w:pPr>
      <w:r>
        <w:rPr>
          <w:rStyle w:val="57"/>
          <w:sz w:val="20"/>
          <w:szCs w:val="20"/>
        </w:rPr>
        <w:t>Proposal 2: The network can configure cell-level rate-matching parameters in ServingCellConfig in Msg4. </w:t>
      </w:r>
      <w:r>
        <w:rPr>
          <w:rStyle w:val="57"/>
          <w:sz w:val="20"/>
          <w:szCs w:val="20"/>
          <w:shd w:val="clear" w:color="auto" w:fill="FFFFFF"/>
        </w:rPr>
        <w:t>Inform RAN1 about this decision.</w:t>
      </w:r>
    </w:p>
    <w:p>
      <w:pPr>
        <w:spacing w:before="156"/>
      </w:pPr>
      <w:r>
        <w:t>A 38.306 CR reflecting proposal 2 and a corresponding Draft LS to RAN1 are available in [3] and [4] respectively.</w:t>
      </w:r>
    </w:p>
    <w:p>
      <w:pPr>
        <w:pStyle w:val="2"/>
        <w:widowControl/>
        <w:pBdr>
          <w:top w:val="single" w:color="auto" w:sz="12" w:space="3"/>
        </w:pBdr>
        <w:tabs>
          <w:tab w:val="clear" w:pos="432"/>
        </w:tabs>
        <w:overflowPunct w:val="0"/>
        <w:autoSpaceDE w:val="0"/>
        <w:autoSpaceDN w:val="0"/>
        <w:adjustRightInd w:val="0"/>
        <w:spacing w:before="156" w:after="180" w:line="240" w:lineRule="auto"/>
        <w:ind w:left="0" w:firstLine="0"/>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spacing w:beforeLines="0" w:line="240" w:lineRule="auto"/>
        <w:rPr>
          <w:sz w:val="20"/>
          <w:szCs w:val="20"/>
        </w:rPr>
      </w:pPr>
      <w:r>
        <w:rPr>
          <w:sz w:val="20"/>
          <w:szCs w:val="20"/>
        </w:rPr>
        <w:t>[1] R2-1815845</w:t>
      </w:r>
      <w:r>
        <w:rPr>
          <w:sz w:val="20"/>
          <w:szCs w:val="20"/>
        </w:rPr>
        <w:tab/>
      </w:r>
      <w:r>
        <w:rPr>
          <w:sz w:val="20"/>
          <w:szCs w:val="20"/>
        </w:rPr>
        <w:t>Introduction of cell level rate matching parameters in ServingCellConfig</w:t>
      </w:r>
      <w:r>
        <w:rPr>
          <w:sz w:val="20"/>
          <w:szCs w:val="20"/>
        </w:rPr>
        <w:tab/>
      </w:r>
      <w:r>
        <w:rPr>
          <w:sz w:val="20"/>
          <w:szCs w:val="20"/>
        </w:rPr>
        <w:tab/>
      </w:r>
      <w:r>
        <w:rPr>
          <w:sz w:val="20"/>
          <w:szCs w:val="20"/>
        </w:rPr>
        <w:t>38.331CR ZTE Corporation, Sanechips</w:t>
      </w:r>
    </w:p>
    <w:p>
      <w:pPr>
        <w:spacing w:beforeLines="0" w:line="240" w:lineRule="auto"/>
        <w:rPr>
          <w:sz w:val="20"/>
          <w:szCs w:val="20"/>
        </w:rPr>
      </w:pPr>
    </w:p>
    <w:p>
      <w:pPr>
        <w:spacing w:beforeLines="0" w:line="240" w:lineRule="auto"/>
        <w:rPr>
          <w:sz w:val="20"/>
          <w:szCs w:val="20"/>
        </w:rPr>
      </w:pPr>
      <w:r>
        <w:rPr>
          <w:sz w:val="20"/>
          <w:szCs w:val="20"/>
        </w:rPr>
        <w:t>[2] R2-1816852</w:t>
      </w:r>
      <w:r>
        <w:rPr>
          <w:sz w:val="20"/>
          <w:szCs w:val="20"/>
        </w:rPr>
        <w:tab/>
      </w:r>
      <w:r>
        <w:rPr>
          <w:sz w:val="20"/>
          <w:szCs w:val="20"/>
        </w:rPr>
        <w:t>Introduction of cell level rate matching parameters in ServingCellConfig</w:t>
      </w:r>
      <w:r>
        <w:rPr>
          <w:sz w:val="20"/>
          <w:szCs w:val="20"/>
        </w:rPr>
        <w:tab/>
      </w:r>
      <w:r>
        <w:rPr>
          <w:sz w:val="20"/>
          <w:szCs w:val="20"/>
        </w:rPr>
        <w:tab/>
      </w:r>
      <w:r>
        <w:rPr>
          <w:sz w:val="20"/>
          <w:szCs w:val="20"/>
        </w:rPr>
        <w:t>38.331CR ZTE Corporation, Sanechips, Nokia, Nokia Shanghai Bell</w:t>
      </w:r>
    </w:p>
    <w:p>
      <w:pPr>
        <w:spacing w:beforeLines="0" w:line="240" w:lineRule="auto"/>
        <w:rPr>
          <w:sz w:val="20"/>
          <w:szCs w:val="20"/>
        </w:rPr>
      </w:pPr>
      <w:r>
        <w:rPr>
          <w:sz w:val="20"/>
          <w:szCs w:val="20"/>
        </w:rPr>
        <w:t xml:space="preserve">[3] </w:t>
      </w:r>
      <w:r>
        <w:fldChar w:fldCharType="begin"/>
      </w:r>
      <w:r>
        <w:instrText xml:space="preserve"> HYPERLINK "javascript:void(0);" \t "_blank" \o "C:Data3GPPExtractsR2-1815845 Introduction of cell level rate match parameters in servingCellConfig.doc" </w:instrText>
      </w:r>
      <w:r>
        <w:fldChar w:fldCharType="separate"/>
      </w:r>
      <w:r>
        <w:rPr>
          <w:sz w:val="20"/>
          <w:szCs w:val="20"/>
        </w:rPr>
        <w:t>R2-1816853</w:t>
      </w:r>
      <w:r>
        <w:rPr>
          <w:sz w:val="20"/>
          <w:szCs w:val="20"/>
        </w:rPr>
        <w:fldChar w:fldCharType="end"/>
      </w:r>
      <w:r>
        <w:rPr>
          <w:sz w:val="20"/>
          <w:szCs w:val="20"/>
        </w:rPr>
        <w:tab/>
      </w:r>
      <w:r>
        <w:rPr>
          <w:sz w:val="20"/>
          <w:szCs w:val="20"/>
        </w:rPr>
        <w:t>Correction to rate match parameters</w:t>
      </w:r>
      <w:r>
        <w:rPr>
          <w:sz w:val="20"/>
          <w:szCs w:val="20"/>
        </w:rPr>
        <w:tab/>
      </w:r>
      <w:r>
        <w:rPr>
          <w:sz w:val="20"/>
          <w:szCs w:val="20"/>
        </w:rPr>
        <w:tab/>
      </w:r>
      <w:r>
        <w:rPr>
          <w:sz w:val="20"/>
          <w:szCs w:val="20"/>
        </w:rPr>
        <w:t>38.306 CR</w:t>
      </w:r>
      <w:r>
        <w:rPr>
          <w:sz w:val="20"/>
          <w:szCs w:val="20"/>
        </w:rPr>
        <w:tab/>
      </w:r>
      <w:r>
        <w:rPr>
          <w:sz w:val="20"/>
          <w:szCs w:val="20"/>
        </w:rPr>
        <w:t>ZTE Corporation, Sanechips, Nokia, Nokia Shanghai Bell</w:t>
      </w:r>
    </w:p>
    <w:p>
      <w:pPr>
        <w:spacing w:beforeLines="0" w:line="240" w:lineRule="auto"/>
        <w:rPr>
          <w:rFonts w:ascii="Arial" w:hAnsi="Arial" w:cs="Arial"/>
          <w:b/>
          <w:bCs/>
          <w:kern w:val="0"/>
          <w:sz w:val="20"/>
          <w:szCs w:val="20"/>
        </w:rPr>
      </w:pPr>
      <w:r>
        <w:rPr>
          <w:sz w:val="20"/>
          <w:szCs w:val="20"/>
        </w:rPr>
        <w:t xml:space="preserve">[4] </w:t>
      </w:r>
      <w:r>
        <w:fldChar w:fldCharType="begin"/>
      </w:r>
      <w:r>
        <w:instrText xml:space="preserve"> HYPERLINK "javascript:void(0);" \t "_blank" \o "C:Data3GPPExtractsR2-1815845 Introduction of cell level rate match parameters in servingCellConfig.doc" </w:instrText>
      </w:r>
      <w:r>
        <w:fldChar w:fldCharType="separate"/>
      </w:r>
      <w:r>
        <w:rPr>
          <w:sz w:val="20"/>
          <w:szCs w:val="20"/>
        </w:rPr>
        <w:t>R2-1816854</w:t>
      </w:r>
      <w:r>
        <w:rPr>
          <w:sz w:val="20"/>
          <w:szCs w:val="20"/>
        </w:rPr>
        <w:fldChar w:fldCharType="end"/>
      </w:r>
      <w:r>
        <w:rPr>
          <w:sz w:val="20"/>
          <w:szCs w:val="20"/>
        </w:rPr>
        <w:tab/>
      </w:r>
      <w:r>
        <w:rPr>
          <w:sz w:val="20"/>
          <w:szCs w:val="20"/>
        </w:rPr>
        <w:t>LS on L1 parameters</w:t>
      </w:r>
      <w:r>
        <w:rPr>
          <w:sz w:val="20"/>
          <w:szCs w:val="20"/>
        </w:rPr>
        <w:tab/>
      </w:r>
      <w:r>
        <w:rPr>
          <w:sz w:val="20"/>
          <w:szCs w:val="20"/>
        </w:rPr>
        <w:t>Draft LS to RAN1</w:t>
      </w:r>
      <w:r>
        <w:rPr>
          <w:sz w:val="20"/>
          <w:szCs w:val="20"/>
        </w:rPr>
        <w:tab/>
      </w:r>
      <w:r>
        <w:rPr>
          <w:sz w:val="20"/>
          <w:szCs w:val="20"/>
        </w:rPr>
        <w:t>ZTE Corporation, Sanechips</w:t>
      </w:r>
    </w:p>
    <w:p>
      <w:pPr>
        <w:widowControl/>
        <w:spacing w:beforeLines="0" w:line="276" w:lineRule="auto"/>
        <w:jc w:val="left"/>
        <w:rPr>
          <w:rFonts w:ascii="Arial" w:hAnsi="Arial" w:cs="Arial"/>
          <w:b/>
          <w:bCs/>
          <w:kern w:val="0"/>
          <w:sz w:val="32"/>
          <w:szCs w:val="36"/>
        </w:rPr>
      </w:pPr>
      <w:r>
        <w:rPr>
          <w:rFonts w:ascii="Arial" w:hAnsi="Arial" w:cs="Arial"/>
          <w:b/>
          <w:bCs/>
          <w:kern w:val="0"/>
          <w:sz w:val="32"/>
          <w:szCs w:val="36"/>
        </w:rPr>
        <w:br w:type="page"/>
      </w:r>
    </w:p>
    <w:p>
      <w:pPr>
        <w:pStyle w:val="2"/>
        <w:widowControl/>
        <w:pBdr>
          <w:top w:val="single" w:color="auto" w:sz="12" w:space="3"/>
        </w:pBdr>
        <w:tabs>
          <w:tab w:val="clear" w:pos="432"/>
        </w:tabs>
        <w:overflowPunct w:val="0"/>
        <w:autoSpaceDE w:val="0"/>
        <w:autoSpaceDN w:val="0"/>
        <w:adjustRightInd w:val="0"/>
        <w:spacing w:before="156" w:after="180" w:line="240" w:lineRule="auto"/>
        <w:ind w:left="0" w:firstLine="0"/>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Annex</w:t>
      </w:r>
      <w:r>
        <w:rPr>
          <w:rFonts w:ascii="Arial" w:hAnsi="Arial" w:cs="Arial"/>
          <w:b w:val="0"/>
          <w:bCs w:val="0"/>
          <w:kern w:val="0"/>
          <w:sz w:val="32"/>
          <w:szCs w:val="36"/>
        </w:rPr>
        <w:t xml:space="preserve"> - Rate Matching UE features defined in RAN1</w:t>
      </w:r>
    </w:p>
    <w:tbl>
      <w:tblPr>
        <w:tblStyle w:val="65"/>
        <w:tblW w:w="10287" w:type="dxa"/>
        <w:tblInd w:w="0" w:type="dxa"/>
        <w:shd w:val="clear" w:color="auto" w:fill="FFFFFF"/>
        <w:tblLayout w:type="fixed"/>
        <w:tblCellMar>
          <w:top w:w="15" w:type="dxa"/>
          <w:left w:w="15" w:type="dxa"/>
          <w:bottom w:w="15" w:type="dxa"/>
          <w:right w:w="15" w:type="dxa"/>
        </w:tblCellMar>
      </w:tblPr>
      <w:tblGrid>
        <w:gridCol w:w="223"/>
        <w:gridCol w:w="572"/>
        <w:gridCol w:w="1838"/>
        <w:gridCol w:w="1754"/>
        <w:gridCol w:w="230"/>
        <w:gridCol w:w="567"/>
        <w:gridCol w:w="182"/>
        <w:gridCol w:w="669"/>
        <w:gridCol w:w="850"/>
        <w:gridCol w:w="851"/>
        <w:gridCol w:w="182"/>
        <w:gridCol w:w="243"/>
        <w:gridCol w:w="182"/>
        <w:gridCol w:w="952"/>
        <w:gridCol w:w="992"/>
      </w:tblGrid>
      <w:tr>
        <w:tblPrEx>
          <w:shd w:val="clear" w:color="auto" w:fill="FFFFFF"/>
          <w:tblLayout w:type="fixed"/>
          <w:tblCellMar>
            <w:top w:w="15" w:type="dxa"/>
            <w:left w:w="15" w:type="dxa"/>
            <w:bottom w:w="15" w:type="dxa"/>
            <w:right w:w="15" w:type="dxa"/>
          </w:tblCellMar>
        </w:tblPrEx>
        <w:trPr>
          <w:trHeight w:val="403" w:hRule="atLeast"/>
        </w:trPr>
        <w:tc>
          <w:tcPr>
            <w:tcW w:w="223"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tcPr>
          <w:p>
            <w:pPr>
              <w:spacing w:before="156" w:after="0" w:line="230" w:lineRule="atLeast"/>
              <w:rPr>
                <w:rFonts w:ascii="Arial" w:hAnsi="Arial" w:cs="Arial"/>
                <w:color w:val="000000"/>
                <w:sz w:val="16"/>
                <w:szCs w:val="16"/>
              </w:rPr>
            </w:pPr>
          </w:p>
        </w:tc>
        <w:tc>
          <w:tcPr>
            <w:tcW w:w="57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5-2</w:t>
            </w:r>
            <w:r>
              <w:rPr>
                <w:rFonts w:hint="eastAsia" w:ascii="MS PGothic" w:hAnsi="MS PGothic" w:eastAsia="MS PGothic" w:cs="Arial"/>
                <w:color w:val="000000"/>
                <w:sz w:val="16"/>
                <w:szCs w:val="16"/>
              </w:rPr>
              <w:t>6</w:t>
            </w:r>
          </w:p>
        </w:tc>
        <w:tc>
          <w:tcPr>
            <w:tcW w:w="1838"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Semi-static rate-matching resource set configuration for DL</w:t>
            </w:r>
          </w:p>
        </w:tc>
        <w:tc>
          <w:tcPr>
            <w:tcW w:w="1754"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1) Bitmap 1/2/3</w:t>
            </w:r>
          </w:p>
          <w:p>
            <w:pPr>
              <w:pStyle w:val="54"/>
              <w:spacing w:before="156" w:beforeAutospacing="0" w:after="0" w:afterAutospacing="0" w:line="230" w:lineRule="atLeast"/>
              <w:rPr>
                <w:rFonts w:ascii="Arial" w:hAnsi="Arial" w:cs="Arial"/>
                <w:sz w:val="16"/>
                <w:szCs w:val="16"/>
              </w:rPr>
            </w:pPr>
            <w:r>
              <w:rPr>
                <w:rFonts w:ascii="Arial" w:hAnsi="Arial" w:cs="Arial"/>
                <w:sz w:val="16"/>
                <w:szCs w:val="16"/>
              </w:rPr>
              <w:t>2) controlResourceSet</w:t>
            </w:r>
          </w:p>
        </w:tc>
        <w:tc>
          <w:tcPr>
            <w:tcW w:w="230"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tcPr>
          <w:p>
            <w:pPr>
              <w:spacing w:before="156" w:after="0" w:line="230" w:lineRule="atLeast"/>
              <w:rPr>
                <w:rFonts w:ascii="Arial" w:hAnsi="Arial" w:cs="Arial"/>
                <w:color w:val="000000"/>
                <w:sz w:val="16"/>
                <w:szCs w:val="16"/>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Yes</w:t>
            </w:r>
          </w:p>
        </w:tc>
        <w:tc>
          <w:tcPr>
            <w:tcW w:w="18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669"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Type 4</w:t>
            </w:r>
          </w:p>
        </w:tc>
        <w:tc>
          <w:tcPr>
            <w:tcW w:w="850"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No need</w:t>
            </w:r>
          </w:p>
        </w:tc>
        <w:tc>
          <w:tcPr>
            <w:tcW w:w="851"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jc w:val="center"/>
              <w:rPr>
                <w:rFonts w:ascii="Arial" w:hAnsi="Arial" w:cs="Arial"/>
                <w:color w:val="000000"/>
                <w:sz w:val="16"/>
                <w:szCs w:val="16"/>
              </w:rPr>
            </w:pPr>
            <w:r>
              <w:rPr>
                <w:rFonts w:ascii="Arial" w:hAnsi="Arial" w:cs="Arial"/>
                <w:color w:val="000000"/>
                <w:sz w:val="16"/>
                <w:szCs w:val="16"/>
              </w:rPr>
              <w:t>No need</w:t>
            </w:r>
          </w:p>
        </w:tc>
        <w:tc>
          <w:tcPr>
            <w:tcW w:w="18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243"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18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95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99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Mandatory with capability signaling</w:t>
            </w:r>
          </w:p>
        </w:tc>
      </w:tr>
      <w:tr>
        <w:tblPrEx>
          <w:tblLayout w:type="fixed"/>
          <w:tblCellMar>
            <w:top w:w="15" w:type="dxa"/>
            <w:left w:w="15" w:type="dxa"/>
            <w:bottom w:w="15" w:type="dxa"/>
            <w:right w:w="15" w:type="dxa"/>
          </w:tblCellMar>
        </w:tblPrEx>
        <w:trPr>
          <w:trHeight w:val="714" w:hRule="atLeast"/>
        </w:trPr>
        <w:tc>
          <w:tcPr>
            <w:tcW w:w="223"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tcPr>
          <w:p>
            <w:pPr>
              <w:spacing w:before="156" w:after="0" w:line="230" w:lineRule="atLeast"/>
              <w:rPr>
                <w:rFonts w:ascii="Arial" w:hAnsi="Arial" w:cs="Arial"/>
                <w:color w:val="000000"/>
                <w:sz w:val="16"/>
                <w:szCs w:val="16"/>
              </w:rPr>
            </w:pPr>
          </w:p>
        </w:tc>
        <w:tc>
          <w:tcPr>
            <w:tcW w:w="57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5-2</w:t>
            </w:r>
            <w:r>
              <w:rPr>
                <w:rFonts w:hint="eastAsia" w:ascii="MS PGothic" w:hAnsi="MS PGothic" w:eastAsia="MS PGothic" w:cs="Arial"/>
                <w:color w:val="000000"/>
                <w:sz w:val="16"/>
                <w:szCs w:val="16"/>
              </w:rPr>
              <w:t>7</w:t>
            </w:r>
          </w:p>
        </w:tc>
        <w:tc>
          <w:tcPr>
            <w:tcW w:w="1838"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Dynamic rate-matching resource set configuration for DL</w:t>
            </w:r>
          </w:p>
        </w:tc>
        <w:tc>
          <w:tcPr>
            <w:tcW w:w="1754"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1) Bitmap 1/2/3</w:t>
            </w:r>
          </w:p>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2) </w:t>
            </w:r>
          </w:p>
        </w:tc>
        <w:tc>
          <w:tcPr>
            <w:tcW w:w="230"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tcPr>
          <w:p>
            <w:pPr>
              <w:spacing w:before="156" w:after="0" w:line="230" w:lineRule="atLeast"/>
              <w:rPr>
                <w:rFonts w:ascii="Arial" w:hAnsi="Arial" w:cs="Arial"/>
                <w:color w:val="000000"/>
                <w:sz w:val="16"/>
                <w:szCs w:val="16"/>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Yes</w:t>
            </w:r>
          </w:p>
        </w:tc>
        <w:tc>
          <w:tcPr>
            <w:tcW w:w="18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669"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Type 4</w:t>
            </w:r>
          </w:p>
        </w:tc>
        <w:tc>
          <w:tcPr>
            <w:tcW w:w="850"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No need</w:t>
            </w:r>
          </w:p>
        </w:tc>
        <w:tc>
          <w:tcPr>
            <w:tcW w:w="851"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jc w:val="center"/>
              <w:rPr>
                <w:rFonts w:ascii="Arial" w:hAnsi="Arial" w:cs="Arial"/>
                <w:color w:val="000000"/>
                <w:sz w:val="16"/>
                <w:szCs w:val="16"/>
              </w:rPr>
            </w:pPr>
            <w:r>
              <w:rPr>
                <w:rFonts w:ascii="Arial" w:hAnsi="Arial" w:cs="Arial"/>
                <w:color w:val="000000"/>
                <w:sz w:val="16"/>
                <w:szCs w:val="16"/>
              </w:rPr>
              <w:t>No need</w:t>
            </w:r>
          </w:p>
        </w:tc>
        <w:tc>
          <w:tcPr>
            <w:tcW w:w="18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243"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18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95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99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Optional with capability signaling</w:t>
            </w:r>
          </w:p>
        </w:tc>
      </w:tr>
      <w:tr>
        <w:tblPrEx>
          <w:tblLayout w:type="fixed"/>
          <w:tblCellMar>
            <w:top w:w="15" w:type="dxa"/>
            <w:left w:w="15" w:type="dxa"/>
            <w:bottom w:w="15" w:type="dxa"/>
            <w:right w:w="15" w:type="dxa"/>
          </w:tblCellMar>
        </w:tblPrEx>
        <w:trPr>
          <w:trHeight w:val="380" w:hRule="atLeast"/>
        </w:trPr>
        <w:tc>
          <w:tcPr>
            <w:tcW w:w="223"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tcPr>
          <w:p>
            <w:pPr>
              <w:spacing w:before="156" w:after="0" w:line="230" w:lineRule="atLeast"/>
              <w:rPr>
                <w:rFonts w:ascii="Arial" w:hAnsi="Arial" w:cs="Arial"/>
                <w:color w:val="000000"/>
                <w:sz w:val="16"/>
                <w:szCs w:val="16"/>
              </w:rPr>
            </w:pPr>
          </w:p>
        </w:tc>
        <w:tc>
          <w:tcPr>
            <w:tcW w:w="57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5-27a</w:t>
            </w:r>
          </w:p>
        </w:tc>
        <w:tc>
          <w:tcPr>
            <w:tcW w:w="1838"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Dynamic rate-matching control resource set for DL</w:t>
            </w:r>
          </w:p>
        </w:tc>
        <w:tc>
          <w:tcPr>
            <w:tcW w:w="1754"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230"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tcPr>
          <w:p>
            <w:pPr>
              <w:spacing w:before="156" w:after="0" w:line="230" w:lineRule="atLeast"/>
              <w:rPr>
                <w:rFonts w:ascii="Arial" w:hAnsi="Arial" w:cs="Arial"/>
                <w:color w:val="000000"/>
                <w:sz w:val="16"/>
                <w:szCs w:val="16"/>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Yes</w:t>
            </w:r>
          </w:p>
        </w:tc>
        <w:tc>
          <w:tcPr>
            <w:tcW w:w="18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669"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Type 4</w:t>
            </w:r>
          </w:p>
        </w:tc>
        <w:tc>
          <w:tcPr>
            <w:tcW w:w="850"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No need</w:t>
            </w:r>
          </w:p>
        </w:tc>
        <w:tc>
          <w:tcPr>
            <w:tcW w:w="851"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jc w:val="center"/>
              <w:rPr>
                <w:rFonts w:ascii="Arial" w:hAnsi="Arial" w:cs="Arial"/>
                <w:color w:val="000000"/>
                <w:sz w:val="16"/>
                <w:szCs w:val="16"/>
              </w:rPr>
            </w:pPr>
            <w:r>
              <w:rPr>
                <w:rFonts w:ascii="Arial" w:hAnsi="Arial" w:cs="Arial"/>
                <w:color w:val="000000"/>
                <w:sz w:val="16"/>
                <w:szCs w:val="16"/>
              </w:rPr>
              <w:t>No need</w:t>
            </w:r>
          </w:p>
        </w:tc>
        <w:tc>
          <w:tcPr>
            <w:tcW w:w="18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243"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18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95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w:t>
            </w:r>
            <w:r>
              <w:rPr>
                <w:rFonts w:hint="eastAsia" w:ascii="MS PGothic" w:hAnsi="MS PGothic" w:eastAsia="MS PGothic" w:cs="Arial"/>
                <w:color w:val="000000"/>
                <w:sz w:val="16"/>
                <w:szCs w:val="16"/>
              </w:rPr>
              <w:t>M</w:t>
            </w:r>
            <w:r>
              <w:rPr>
                <w:rFonts w:ascii="Arial" w:hAnsi="Arial" w:cs="Arial"/>
                <w:color w:val="000000"/>
                <w:sz w:val="16"/>
                <w:szCs w:val="16"/>
              </w:rPr>
              <w:t>andatory with capability signaling]</w:t>
            </w:r>
          </w:p>
        </w:tc>
        <w:tc>
          <w:tcPr>
            <w:tcW w:w="99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r>
      <w:tr>
        <w:tblPrEx>
          <w:tblLayout w:type="fixed"/>
          <w:tblCellMar>
            <w:top w:w="15" w:type="dxa"/>
            <w:left w:w="15" w:type="dxa"/>
            <w:bottom w:w="15" w:type="dxa"/>
            <w:right w:w="15" w:type="dxa"/>
          </w:tblCellMar>
        </w:tblPrEx>
        <w:trPr>
          <w:trHeight w:val="1048" w:hRule="atLeast"/>
        </w:trPr>
        <w:tc>
          <w:tcPr>
            <w:tcW w:w="223"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tcPr>
          <w:p>
            <w:pPr>
              <w:spacing w:before="156" w:after="0" w:line="230" w:lineRule="atLeast"/>
              <w:rPr>
                <w:rFonts w:ascii="Arial" w:hAnsi="Arial" w:cs="Arial"/>
                <w:color w:val="000000"/>
                <w:sz w:val="16"/>
                <w:szCs w:val="16"/>
              </w:rPr>
            </w:pPr>
          </w:p>
        </w:tc>
        <w:tc>
          <w:tcPr>
            <w:tcW w:w="57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5-2</w:t>
            </w:r>
            <w:r>
              <w:rPr>
                <w:rFonts w:hint="eastAsia" w:ascii="MS PGothic" w:hAnsi="MS PGothic" w:eastAsia="MS PGothic" w:cs="Arial"/>
                <w:color w:val="000000"/>
                <w:sz w:val="16"/>
                <w:szCs w:val="16"/>
              </w:rPr>
              <w:t>8</w:t>
            </w:r>
          </w:p>
        </w:tc>
        <w:tc>
          <w:tcPr>
            <w:tcW w:w="1838"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Rate-matching around LTE CRS</w:t>
            </w:r>
          </w:p>
        </w:tc>
        <w:tc>
          <w:tcPr>
            <w:tcW w:w="1754"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230"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tcPr>
          <w:p>
            <w:pPr>
              <w:spacing w:before="156" w:after="0" w:line="230" w:lineRule="atLeast"/>
              <w:rPr>
                <w:rFonts w:ascii="Arial" w:hAnsi="Arial" w:cs="Arial"/>
                <w:color w:val="000000"/>
                <w:sz w:val="16"/>
                <w:szCs w:val="16"/>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Yes</w:t>
            </w:r>
          </w:p>
        </w:tc>
        <w:tc>
          <w:tcPr>
            <w:tcW w:w="18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669"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Type 1</w:t>
            </w:r>
          </w:p>
        </w:tc>
        <w:tc>
          <w:tcPr>
            <w:tcW w:w="850"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N.A.</w:t>
            </w:r>
          </w:p>
        </w:tc>
        <w:tc>
          <w:tcPr>
            <w:tcW w:w="851"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pStyle w:val="54"/>
              <w:spacing w:before="156" w:beforeAutospacing="0" w:after="0" w:afterAutospacing="0" w:line="230" w:lineRule="atLeast"/>
              <w:jc w:val="center"/>
              <w:rPr>
                <w:rFonts w:ascii="Arial" w:hAnsi="Arial" w:cs="Arial"/>
                <w:color w:val="000000"/>
                <w:sz w:val="16"/>
                <w:szCs w:val="16"/>
              </w:rPr>
            </w:pPr>
            <w:r>
              <w:rPr>
                <w:rFonts w:ascii="Arial" w:hAnsi="Arial" w:cs="Arial"/>
                <w:color w:val="000000"/>
                <w:sz w:val="16"/>
                <w:szCs w:val="16"/>
              </w:rPr>
              <w:t>N.A.</w:t>
            </w:r>
          </w:p>
        </w:tc>
        <w:tc>
          <w:tcPr>
            <w:tcW w:w="18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243"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18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95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vAlign w:val="center"/>
          </w:tcPr>
          <w:p>
            <w:pPr>
              <w:spacing w:before="156" w:after="0" w:line="230" w:lineRule="atLeast"/>
              <w:rPr>
                <w:rFonts w:ascii="Arial" w:hAnsi="Arial" w:cs="Arial"/>
                <w:color w:val="000000"/>
                <w:sz w:val="16"/>
                <w:szCs w:val="16"/>
              </w:rPr>
            </w:pPr>
          </w:p>
        </w:tc>
        <w:tc>
          <w:tcPr>
            <w:tcW w:w="992" w:type="dxa"/>
            <w:tcBorders>
              <w:top w:val="single" w:color="auto" w:sz="4" w:space="0"/>
              <w:left w:val="single" w:color="auto" w:sz="4" w:space="0"/>
              <w:bottom w:val="single" w:color="auto" w:sz="4" w:space="0"/>
              <w:right w:val="single" w:color="auto" w:sz="4" w:space="0"/>
            </w:tcBorders>
            <w:shd w:val="clear" w:color="auto" w:fill="auto"/>
            <w:tcMar>
              <w:top w:w="0" w:type="dxa"/>
              <w:left w:w="81" w:type="dxa"/>
              <w:bottom w:w="0" w:type="dxa"/>
              <w:right w:w="81" w:type="dxa"/>
            </w:tcMar>
          </w:tcPr>
          <w:p>
            <w:pPr>
              <w:pStyle w:val="54"/>
              <w:spacing w:before="156" w:beforeAutospacing="0" w:after="0" w:afterAutospacing="0" w:line="230" w:lineRule="atLeast"/>
              <w:rPr>
                <w:rFonts w:ascii="Arial" w:hAnsi="Arial" w:cs="Arial"/>
                <w:color w:val="000000"/>
                <w:sz w:val="16"/>
                <w:szCs w:val="16"/>
              </w:rPr>
            </w:pPr>
            <w:r>
              <w:rPr>
                <w:rFonts w:ascii="Arial" w:hAnsi="Arial" w:cs="Arial"/>
                <w:color w:val="000000"/>
                <w:sz w:val="16"/>
                <w:szCs w:val="16"/>
              </w:rPr>
              <w:t>Mandatory with capability signaling</w:t>
            </w:r>
          </w:p>
        </w:tc>
      </w:tr>
    </w:tbl>
    <w:p>
      <w:pPr>
        <w:pStyle w:val="68"/>
        <w:spacing w:before="156" w:after="0"/>
        <w:ind w:firstLine="0" w:firstLineChars="0"/>
      </w:pPr>
    </w:p>
    <w:p>
      <w:pPr>
        <w:widowControl/>
        <w:spacing w:beforeLines="0" w:after="200" w:line="276" w:lineRule="auto"/>
        <w:jc w:val="left"/>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等线 Light">
    <w:altName w:val="宋体"/>
    <w:panose1 w:val="00000000000000000000"/>
    <w:charset w:val="86"/>
    <w:family w:val="auto"/>
    <w:pitch w:val="default"/>
    <w:sig w:usb0="00000000" w:usb1="00000000" w:usb2="00000016" w:usb3="00000000" w:csb0="0004000F" w:csb1="00000000"/>
  </w:font>
  <w:font w:name="MS PGothic">
    <w:panose1 w:val="020B0600070205080204"/>
    <w:charset w:val="80"/>
    <w:family w:val="swiss"/>
    <w:pitch w:val="default"/>
    <w:sig w:usb0="E00002FF" w:usb1="6AC7FDFB" w:usb2="00000012" w:usb3="00000000" w:csb0="4002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spacing w:before="120"/>
      <w:rPr>
        <w:rStyle w:val="59"/>
      </w:rPr>
    </w:pPr>
    <w:r>
      <w:rPr>
        <w:rStyle w:val="59"/>
      </w:rPr>
      <w:fldChar w:fldCharType="begin"/>
    </w:r>
    <w:r>
      <w:rPr>
        <w:rStyle w:val="59"/>
      </w:rPr>
      <w:instrText xml:space="preserve">PAGE  </w:instrText>
    </w:r>
    <w:r>
      <w:rPr>
        <w:rStyle w:val="59"/>
      </w:rPr>
      <w:fldChar w:fldCharType="end"/>
    </w:r>
  </w:p>
  <w:p>
    <w:pPr>
      <w:pStyle w:val="38"/>
      <w:spacing w:before="1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2122B79"/>
    <w:multiLevelType w:val="multilevel"/>
    <w:tmpl w:val="02122B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documentProtection w:enforcement="0"/>
  <w:defaultTabStop w:val="420"/>
  <w:hyphenationZone w:val="283"/>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439F7"/>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4DB"/>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75BC1"/>
    <w:rsid w:val="00281718"/>
    <w:rsid w:val="002855D0"/>
    <w:rsid w:val="00286CB5"/>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644E"/>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10F"/>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6ED1"/>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0F1"/>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1EBD"/>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35255"/>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1912"/>
    <w:rsid w:val="009D2A16"/>
    <w:rsid w:val="009D6952"/>
    <w:rsid w:val="009E068F"/>
    <w:rsid w:val="009E1B89"/>
    <w:rsid w:val="009E619C"/>
    <w:rsid w:val="009E7020"/>
    <w:rsid w:val="009E7045"/>
    <w:rsid w:val="009E748B"/>
    <w:rsid w:val="009F2244"/>
    <w:rsid w:val="009F3D12"/>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DE4"/>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2E5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D786E"/>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C671B"/>
    <w:rsid w:val="00BD05BF"/>
    <w:rsid w:val="00BD464A"/>
    <w:rsid w:val="00BD6CFB"/>
    <w:rsid w:val="00BE2902"/>
    <w:rsid w:val="00BE42CB"/>
    <w:rsid w:val="00BE6162"/>
    <w:rsid w:val="00BE6C9C"/>
    <w:rsid w:val="00BF37B7"/>
    <w:rsid w:val="00BF5C82"/>
    <w:rsid w:val="00BF7A5E"/>
    <w:rsid w:val="00C00148"/>
    <w:rsid w:val="00C0085D"/>
    <w:rsid w:val="00C00E47"/>
    <w:rsid w:val="00C010AA"/>
    <w:rsid w:val="00C013EF"/>
    <w:rsid w:val="00C11D21"/>
    <w:rsid w:val="00C11EFC"/>
    <w:rsid w:val="00C1675F"/>
    <w:rsid w:val="00C21F2D"/>
    <w:rsid w:val="00C23439"/>
    <w:rsid w:val="00C27213"/>
    <w:rsid w:val="00C278C2"/>
    <w:rsid w:val="00C31CE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E78E2"/>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94AB6"/>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124E01"/>
    <w:rsid w:val="02787508"/>
    <w:rsid w:val="02AA0F54"/>
    <w:rsid w:val="02E8302F"/>
    <w:rsid w:val="032B5B4B"/>
    <w:rsid w:val="034A18C1"/>
    <w:rsid w:val="041152F7"/>
    <w:rsid w:val="0413105E"/>
    <w:rsid w:val="041D73B4"/>
    <w:rsid w:val="046B2397"/>
    <w:rsid w:val="04960FC9"/>
    <w:rsid w:val="049D061B"/>
    <w:rsid w:val="051937DB"/>
    <w:rsid w:val="053877DE"/>
    <w:rsid w:val="0556778F"/>
    <w:rsid w:val="06167D40"/>
    <w:rsid w:val="06746052"/>
    <w:rsid w:val="067552CA"/>
    <w:rsid w:val="067D464C"/>
    <w:rsid w:val="06A179A0"/>
    <w:rsid w:val="07771801"/>
    <w:rsid w:val="07825B13"/>
    <w:rsid w:val="07864148"/>
    <w:rsid w:val="07AE0C6B"/>
    <w:rsid w:val="07CE088B"/>
    <w:rsid w:val="085636D7"/>
    <w:rsid w:val="08B665B2"/>
    <w:rsid w:val="09184A61"/>
    <w:rsid w:val="09666D44"/>
    <w:rsid w:val="09E87293"/>
    <w:rsid w:val="09F42949"/>
    <w:rsid w:val="0ADA27AB"/>
    <w:rsid w:val="0B20198D"/>
    <w:rsid w:val="0B233C4C"/>
    <w:rsid w:val="0B3A2C1A"/>
    <w:rsid w:val="0B8E6116"/>
    <w:rsid w:val="0C085429"/>
    <w:rsid w:val="0C767CD3"/>
    <w:rsid w:val="0CB302D0"/>
    <w:rsid w:val="0CD63978"/>
    <w:rsid w:val="0CFF2AF0"/>
    <w:rsid w:val="0D903FA1"/>
    <w:rsid w:val="0D9F789E"/>
    <w:rsid w:val="0E6675E9"/>
    <w:rsid w:val="0E7304E4"/>
    <w:rsid w:val="0F0670A0"/>
    <w:rsid w:val="0F117F9B"/>
    <w:rsid w:val="0F292443"/>
    <w:rsid w:val="0FDD0A05"/>
    <w:rsid w:val="0FF22E1E"/>
    <w:rsid w:val="107C1538"/>
    <w:rsid w:val="10D00944"/>
    <w:rsid w:val="10E66856"/>
    <w:rsid w:val="121151DD"/>
    <w:rsid w:val="124E4F2B"/>
    <w:rsid w:val="13917374"/>
    <w:rsid w:val="13E205E1"/>
    <w:rsid w:val="148C2E3A"/>
    <w:rsid w:val="148D072E"/>
    <w:rsid w:val="15440243"/>
    <w:rsid w:val="155A6687"/>
    <w:rsid w:val="159B0B4F"/>
    <w:rsid w:val="159F10C6"/>
    <w:rsid w:val="15A16A04"/>
    <w:rsid w:val="16511444"/>
    <w:rsid w:val="1657778B"/>
    <w:rsid w:val="171159BC"/>
    <w:rsid w:val="17AE3625"/>
    <w:rsid w:val="180F6274"/>
    <w:rsid w:val="18690CFB"/>
    <w:rsid w:val="18925987"/>
    <w:rsid w:val="18AE4818"/>
    <w:rsid w:val="191B3FEB"/>
    <w:rsid w:val="19B53C17"/>
    <w:rsid w:val="19B84071"/>
    <w:rsid w:val="19D81B97"/>
    <w:rsid w:val="19DD310A"/>
    <w:rsid w:val="1A5646A0"/>
    <w:rsid w:val="1AFD26C7"/>
    <w:rsid w:val="1B1962E0"/>
    <w:rsid w:val="1B6E36D8"/>
    <w:rsid w:val="1BAD79A0"/>
    <w:rsid w:val="1BD8329B"/>
    <w:rsid w:val="1BFE2EE5"/>
    <w:rsid w:val="1C687840"/>
    <w:rsid w:val="1CBC410B"/>
    <w:rsid w:val="1CFD6B5F"/>
    <w:rsid w:val="1D60281E"/>
    <w:rsid w:val="1E9373AE"/>
    <w:rsid w:val="1F0767BC"/>
    <w:rsid w:val="1F7230F8"/>
    <w:rsid w:val="20027941"/>
    <w:rsid w:val="20582F06"/>
    <w:rsid w:val="205A1B67"/>
    <w:rsid w:val="211A1954"/>
    <w:rsid w:val="21440317"/>
    <w:rsid w:val="214D1CF0"/>
    <w:rsid w:val="224061F6"/>
    <w:rsid w:val="22515BB4"/>
    <w:rsid w:val="225D0863"/>
    <w:rsid w:val="22787D6E"/>
    <w:rsid w:val="22960D42"/>
    <w:rsid w:val="22AC71C4"/>
    <w:rsid w:val="22EB71DA"/>
    <w:rsid w:val="234C36DC"/>
    <w:rsid w:val="239E54D8"/>
    <w:rsid w:val="23CC2B77"/>
    <w:rsid w:val="242B5E7E"/>
    <w:rsid w:val="2451628F"/>
    <w:rsid w:val="24536F49"/>
    <w:rsid w:val="247A650D"/>
    <w:rsid w:val="25367D08"/>
    <w:rsid w:val="2542153C"/>
    <w:rsid w:val="254B0EBB"/>
    <w:rsid w:val="25757213"/>
    <w:rsid w:val="25AA01EC"/>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DEE23F6"/>
    <w:rsid w:val="2E9A0203"/>
    <w:rsid w:val="2E9C3162"/>
    <w:rsid w:val="2EAC79D3"/>
    <w:rsid w:val="2F10116D"/>
    <w:rsid w:val="2F1078C3"/>
    <w:rsid w:val="2F1F42E6"/>
    <w:rsid w:val="2FA04582"/>
    <w:rsid w:val="2FA73BC2"/>
    <w:rsid w:val="30906EDC"/>
    <w:rsid w:val="30BC181C"/>
    <w:rsid w:val="30D7158A"/>
    <w:rsid w:val="311C6F65"/>
    <w:rsid w:val="31451BE8"/>
    <w:rsid w:val="31BC3471"/>
    <w:rsid w:val="31F51D67"/>
    <w:rsid w:val="3274443B"/>
    <w:rsid w:val="33366343"/>
    <w:rsid w:val="335D01AB"/>
    <w:rsid w:val="33CE46B3"/>
    <w:rsid w:val="34035E02"/>
    <w:rsid w:val="34164647"/>
    <w:rsid w:val="349C563D"/>
    <w:rsid w:val="35137B68"/>
    <w:rsid w:val="355F7DEA"/>
    <w:rsid w:val="36314129"/>
    <w:rsid w:val="378E702D"/>
    <w:rsid w:val="37B164B2"/>
    <w:rsid w:val="37BD3193"/>
    <w:rsid w:val="37C65713"/>
    <w:rsid w:val="37E06357"/>
    <w:rsid w:val="38214920"/>
    <w:rsid w:val="38244D57"/>
    <w:rsid w:val="38313F24"/>
    <w:rsid w:val="38451A29"/>
    <w:rsid w:val="38487BE4"/>
    <w:rsid w:val="38AA67C6"/>
    <w:rsid w:val="39807CC0"/>
    <w:rsid w:val="39D626D1"/>
    <w:rsid w:val="39F30B3F"/>
    <w:rsid w:val="3A0557BB"/>
    <w:rsid w:val="3B2F0F23"/>
    <w:rsid w:val="3B360523"/>
    <w:rsid w:val="3B4D53CA"/>
    <w:rsid w:val="3D2F2092"/>
    <w:rsid w:val="3D704360"/>
    <w:rsid w:val="3D7D6E14"/>
    <w:rsid w:val="3DCF2E0D"/>
    <w:rsid w:val="3DF07251"/>
    <w:rsid w:val="3F22265A"/>
    <w:rsid w:val="3F5E685A"/>
    <w:rsid w:val="3F6716E0"/>
    <w:rsid w:val="3F6F3D8F"/>
    <w:rsid w:val="3F751146"/>
    <w:rsid w:val="3F7817C5"/>
    <w:rsid w:val="3F8B7650"/>
    <w:rsid w:val="403409ED"/>
    <w:rsid w:val="40D570FA"/>
    <w:rsid w:val="40E72FE1"/>
    <w:rsid w:val="413A1483"/>
    <w:rsid w:val="42241D93"/>
    <w:rsid w:val="424566D0"/>
    <w:rsid w:val="43075B38"/>
    <w:rsid w:val="432C35DA"/>
    <w:rsid w:val="444F0F50"/>
    <w:rsid w:val="445F34EB"/>
    <w:rsid w:val="44807771"/>
    <w:rsid w:val="44B3345F"/>
    <w:rsid w:val="44C70D28"/>
    <w:rsid w:val="44CA5ED0"/>
    <w:rsid w:val="44F84F89"/>
    <w:rsid w:val="457A7B36"/>
    <w:rsid w:val="461850D9"/>
    <w:rsid w:val="464C7438"/>
    <w:rsid w:val="465002DF"/>
    <w:rsid w:val="47BA7497"/>
    <w:rsid w:val="47C90932"/>
    <w:rsid w:val="47CC43E5"/>
    <w:rsid w:val="480313B7"/>
    <w:rsid w:val="48A615D1"/>
    <w:rsid w:val="48C25B53"/>
    <w:rsid w:val="4999720E"/>
    <w:rsid w:val="49E06BA9"/>
    <w:rsid w:val="4A6B42BA"/>
    <w:rsid w:val="4A78750E"/>
    <w:rsid w:val="4AA15971"/>
    <w:rsid w:val="4AF063BB"/>
    <w:rsid w:val="4B03481E"/>
    <w:rsid w:val="4B1F4A36"/>
    <w:rsid w:val="4B2007E0"/>
    <w:rsid w:val="4B26478F"/>
    <w:rsid w:val="4CC4425D"/>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503F1BBD"/>
    <w:rsid w:val="505D60F8"/>
    <w:rsid w:val="509E51F9"/>
    <w:rsid w:val="50DC5240"/>
    <w:rsid w:val="513A38F8"/>
    <w:rsid w:val="518642B9"/>
    <w:rsid w:val="52997015"/>
    <w:rsid w:val="52EF7AFD"/>
    <w:rsid w:val="53785995"/>
    <w:rsid w:val="53A95C18"/>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9C3CA4"/>
    <w:rsid w:val="61084ACE"/>
    <w:rsid w:val="61340F95"/>
    <w:rsid w:val="616E1858"/>
    <w:rsid w:val="61771608"/>
    <w:rsid w:val="624124FD"/>
    <w:rsid w:val="62B54036"/>
    <w:rsid w:val="63BB73BA"/>
    <w:rsid w:val="63CB5BC3"/>
    <w:rsid w:val="642B07CD"/>
    <w:rsid w:val="64E50EAD"/>
    <w:rsid w:val="65984F3F"/>
    <w:rsid w:val="659D6455"/>
    <w:rsid w:val="659E3CB8"/>
    <w:rsid w:val="65B277EC"/>
    <w:rsid w:val="65F73C65"/>
    <w:rsid w:val="66175F6C"/>
    <w:rsid w:val="661C019A"/>
    <w:rsid w:val="668F2C57"/>
    <w:rsid w:val="6694541D"/>
    <w:rsid w:val="66A10B7C"/>
    <w:rsid w:val="66B90322"/>
    <w:rsid w:val="66D30702"/>
    <w:rsid w:val="66D400FB"/>
    <w:rsid w:val="6742197E"/>
    <w:rsid w:val="67655F5B"/>
    <w:rsid w:val="676F688E"/>
    <w:rsid w:val="678A14A8"/>
    <w:rsid w:val="67DF35FD"/>
    <w:rsid w:val="68F93924"/>
    <w:rsid w:val="69514322"/>
    <w:rsid w:val="69797C2C"/>
    <w:rsid w:val="69CB3D72"/>
    <w:rsid w:val="69D04AC7"/>
    <w:rsid w:val="6A2D32EF"/>
    <w:rsid w:val="6A667D8E"/>
    <w:rsid w:val="6B095FA5"/>
    <w:rsid w:val="6B5758E6"/>
    <w:rsid w:val="6B793CFC"/>
    <w:rsid w:val="6C272137"/>
    <w:rsid w:val="6CA102BA"/>
    <w:rsid w:val="6CA14A31"/>
    <w:rsid w:val="6CA73C88"/>
    <w:rsid w:val="6CA87341"/>
    <w:rsid w:val="6CD616AD"/>
    <w:rsid w:val="6D1B16C6"/>
    <w:rsid w:val="6D624BE1"/>
    <w:rsid w:val="6E4E5494"/>
    <w:rsid w:val="6E6A6492"/>
    <w:rsid w:val="6E85213C"/>
    <w:rsid w:val="6EF90FB6"/>
    <w:rsid w:val="6F372F1E"/>
    <w:rsid w:val="6F424DC6"/>
    <w:rsid w:val="704E3D33"/>
    <w:rsid w:val="70772371"/>
    <w:rsid w:val="70B268B6"/>
    <w:rsid w:val="70B646BA"/>
    <w:rsid w:val="70C80308"/>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96035D"/>
    <w:rsid w:val="76A01073"/>
    <w:rsid w:val="76C36392"/>
    <w:rsid w:val="76D60E19"/>
    <w:rsid w:val="76DD7FE4"/>
    <w:rsid w:val="76EB5347"/>
    <w:rsid w:val="76FF157D"/>
    <w:rsid w:val="779C2984"/>
    <w:rsid w:val="7885108A"/>
    <w:rsid w:val="78C14B13"/>
    <w:rsid w:val="79851225"/>
    <w:rsid w:val="79B652AC"/>
    <w:rsid w:val="7B097AF0"/>
    <w:rsid w:val="7B111AED"/>
    <w:rsid w:val="7B2B25E4"/>
    <w:rsid w:val="7B2C7FD0"/>
    <w:rsid w:val="7B466F0E"/>
    <w:rsid w:val="7B50168C"/>
    <w:rsid w:val="7B540F3A"/>
    <w:rsid w:val="7B855912"/>
    <w:rsid w:val="7BDC2F15"/>
    <w:rsid w:val="7BFD589C"/>
    <w:rsid w:val="7C883FC8"/>
    <w:rsid w:val="7CC176DD"/>
    <w:rsid w:val="7CEB4CF5"/>
    <w:rsid w:val="7D093ADB"/>
    <w:rsid w:val="7E6016B0"/>
    <w:rsid w:val="7E7839CB"/>
    <w:rsid w:val="7EB22AC9"/>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Lines="50"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30"/>
      <w:szCs w:val="44"/>
    </w:rPr>
  </w:style>
  <w:style w:type="paragraph" w:styleId="3">
    <w:name w:val="heading 2"/>
    <w:basedOn w:val="2"/>
    <w:next w:val="1"/>
    <w:link w:val="71"/>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2"/>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283"/>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282"/>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2"/>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6"/>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0"/>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9"/>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bCs/>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7">
    <w:name w:val="Balloon Text Char"/>
    <w:basedOn w:val="56"/>
    <w:link w:val="37"/>
    <w:qFormat/>
    <w:uiPriority w:val="0"/>
    <w:rPr>
      <w:kern w:val="2"/>
      <w:sz w:val="18"/>
      <w:szCs w:val="18"/>
    </w:rPr>
  </w:style>
  <w:style w:type="paragraph" w:customStyle="1" w:styleId="68">
    <w:name w:val="List Paragraph1"/>
    <w:basedOn w:val="1"/>
    <w:link w:val="273"/>
    <w:unhideWhenUsed/>
    <w:qFormat/>
    <w:uiPriority w:val="99"/>
    <w:pPr>
      <w:ind w:firstLine="420" w:firstLineChars="200"/>
    </w:pPr>
  </w:style>
  <w:style w:type="character" w:customStyle="1" w:styleId="69">
    <w:name w:val="Document Map Char"/>
    <w:basedOn w:val="56"/>
    <w:link w:val="25"/>
    <w:qFormat/>
    <w:uiPriority w:val="0"/>
    <w:rPr>
      <w:rFonts w:ascii="宋体"/>
      <w:kern w:val="2"/>
      <w:sz w:val="18"/>
      <w:szCs w:val="18"/>
    </w:rPr>
  </w:style>
  <w:style w:type="character" w:customStyle="1" w:styleId="70">
    <w:name w:val="Heading 1 Char"/>
    <w:basedOn w:val="56"/>
    <w:link w:val="2"/>
    <w:qFormat/>
    <w:uiPriority w:val="0"/>
    <w:rPr>
      <w:rFonts w:eastAsiaTheme="minorEastAsia"/>
      <w:b/>
      <w:bCs/>
      <w:kern w:val="44"/>
      <w:sz w:val="30"/>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4"/>
    <w:qFormat/>
    <w:uiPriority w:val="0"/>
    <w:rPr>
      <w:b/>
      <w:bCs/>
      <w:kern w:val="2"/>
      <w:sz w:val="32"/>
      <w:szCs w:val="32"/>
    </w:rPr>
  </w:style>
  <w:style w:type="character" w:customStyle="1" w:styleId="73">
    <w:name w:val="Heading 4 Char"/>
    <w:basedOn w:val="56"/>
    <w:link w:val="5"/>
    <w:qFormat/>
    <w:uiPriority w:val="0"/>
    <w:rPr>
      <w:rFonts w:ascii="Arial" w:hAnsi="Arial" w:eastAsia="黑体"/>
      <w:b/>
      <w:kern w:val="2"/>
      <w:sz w:val="28"/>
      <w:szCs w:val="24"/>
    </w:rPr>
  </w:style>
  <w:style w:type="character" w:customStyle="1" w:styleId="74">
    <w:name w:val="Heading 5 Char"/>
    <w:basedOn w:val="56"/>
    <w:link w:val="6"/>
    <w:qFormat/>
    <w:uiPriority w:val="0"/>
    <w:rPr>
      <w:b/>
      <w:kern w:val="2"/>
      <w:sz w:val="28"/>
      <w:szCs w:val="24"/>
    </w:rPr>
  </w:style>
  <w:style w:type="character" w:customStyle="1" w:styleId="75">
    <w:name w:val="Heading 6 Char"/>
    <w:basedOn w:val="56"/>
    <w:link w:val="7"/>
    <w:qFormat/>
    <w:uiPriority w:val="0"/>
    <w:rPr>
      <w:rFonts w:ascii="Arial" w:hAnsi="Arial" w:eastAsia="黑体"/>
      <w:b/>
      <w:kern w:val="2"/>
      <w:sz w:val="24"/>
      <w:szCs w:val="24"/>
    </w:rPr>
  </w:style>
  <w:style w:type="character" w:customStyle="1" w:styleId="76">
    <w:name w:val="Heading 7 Char"/>
    <w:basedOn w:val="56"/>
    <w:link w:val="8"/>
    <w:qFormat/>
    <w:uiPriority w:val="0"/>
    <w:rPr>
      <w:b/>
      <w:kern w:val="2"/>
      <w:sz w:val="24"/>
      <w:szCs w:val="24"/>
    </w:rPr>
  </w:style>
  <w:style w:type="character" w:customStyle="1" w:styleId="77">
    <w:name w:val="Heading 8 Char"/>
    <w:basedOn w:val="56"/>
    <w:link w:val="9"/>
    <w:qFormat/>
    <w:uiPriority w:val="0"/>
    <w:rPr>
      <w:rFonts w:ascii="Arial" w:hAnsi="Arial" w:eastAsia="黑体"/>
      <w:kern w:val="2"/>
      <w:sz w:val="24"/>
      <w:szCs w:val="24"/>
    </w:rPr>
  </w:style>
  <w:style w:type="character" w:customStyle="1" w:styleId="78">
    <w:name w:val="Heading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3"/>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2"/>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7"/>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customStyle="1" w:styleId="114">
    <w:name w:val="Placeholder Text1"/>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3"/>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5"/>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9"/>
    <w:qFormat/>
    <w:uiPriority w:val="0"/>
    <w:rPr>
      <w:rFonts w:ascii="宋体" w:eastAsia="宋体"/>
    </w:rPr>
  </w:style>
  <w:style w:type="paragraph" w:customStyle="1" w:styleId="213">
    <w:name w:val="示例×："/>
    <w:basedOn w:val="151"/>
    <w:qFormat/>
    <w:uiPriority w:val="0"/>
    <w:pPr>
      <w:spacing w:beforeLines="0" w:afterLines="0"/>
      <w:ind w:firstLine="397"/>
      <w:outlineLvl w:val="9"/>
    </w:pPr>
    <w:rPr>
      <w:rFonts w:ascii="宋体" w:eastAsia="宋体"/>
      <w:sz w:val="18"/>
      <w:szCs w:val="18"/>
    </w:rPr>
  </w:style>
  <w:style w:type="paragraph" w:customStyle="1" w:styleId="214">
    <w:name w:val="EmailDiscussion2"/>
    <w:basedOn w:val="83"/>
    <w:qFormat/>
    <w:uiPriority w:val="0"/>
  </w:style>
  <w:style w:type="paragraph" w:customStyle="1" w:styleId="215">
    <w:name w:val="B5"/>
    <w:basedOn w:val="47"/>
    <w:qFormat/>
    <w:uiPriority w:val="0"/>
  </w:style>
  <w:style w:type="paragraph" w:customStyle="1" w:styleId="216">
    <w:name w:val="其他发布日期"/>
    <w:basedOn w:val="166"/>
    <w:qFormat/>
    <w:uiPriority w:val="0"/>
  </w:style>
  <w:style w:type="paragraph" w:customStyle="1" w:styleId="217">
    <w:name w:val="B4"/>
    <w:basedOn w:val="48"/>
    <w:link w:val="275"/>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60"/>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TAC"/>
    <w:basedOn w:val="105"/>
    <w:qFormat/>
    <w:uiPriority w:val="0"/>
    <w:pPr>
      <w:jc w:val="center"/>
    </w:pPr>
    <w:rPr>
      <w:szCs w:val="20"/>
      <w:lang w:eastAsia="en-US"/>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8"/>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8"/>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8"/>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5"/>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7"/>
    <w:qFormat/>
    <w:uiPriority w:val="0"/>
    <w:rPr>
      <w:rFonts w:eastAsia="MS Mincho"/>
      <w:lang w:val="en-GB" w:eastAsia="en-US"/>
    </w:rPr>
  </w:style>
  <w:style w:type="paragraph" w:customStyle="1" w:styleId="276">
    <w:name w:val="Guidance"/>
    <w:basedOn w:val="1"/>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table" w:customStyle="1" w:styleId="278">
    <w:name w:val="Table Normal1"/>
    <w:basedOn w:val="65"/>
    <w:semiHidden/>
    <w:qFormat/>
    <w:uiPriority w:val="0"/>
    <w:pPr>
      <w:spacing w:after="0"/>
    </w:pPr>
    <w:rPr>
      <w:rFonts w:ascii="Calibri" w:hAnsi="Calibri" w:cs="Calibri"/>
    </w:rPr>
    <w:tblPr>
      <w:tblLayout w:type="fixed"/>
      <w:tblCellMar>
        <w:top w:w="0" w:type="dxa"/>
        <w:left w:w="108" w:type="dxa"/>
        <w:bottom w:w="0" w:type="dxa"/>
        <w:right w:w="108" w:type="dxa"/>
      </w:tblCellMar>
    </w:tblPr>
  </w:style>
  <w:style w:type="character" w:customStyle="1" w:styleId="279">
    <w:name w:val="NO Char"/>
    <w:basedOn w:val="56"/>
    <w:qFormat/>
    <w:uiPriority w:val="0"/>
    <w:rPr>
      <w:rFonts w:hint="default" w:ascii="Times New Roman" w:hAnsi="Times New Roman" w:eastAsia="Times New Roman" w:cs="Times New Roman"/>
    </w:rPr>
  </w:style>
  <w:style w:type="paragraph" w:customStyle="1" w:styleId="280">
    <w:name w:val="CR Cover Page"/>
    <w:link w:val="284"/>
    <w:qFormat/>
    <w:uiPriority w:val="0"/>
    <w:pPr>
      <w:spacing w:after="120" w:line="259" w:lineRule="auto"/>
    </w:pPr>
    <w:rPr>
      <w:rFonts w:ascii="Arial" w:hAnsi="Arial" w:eastAsia="宋体" w:cs="Times New Roman"/>
      <w:sz w:val="21"/>
      <w:szCs w:val="22"/>
      <w:lang w:val="en-GB" w:eastAsia="en-US" w:bidi="ar-SA"/>
    </w:rPr>
  </w:style>
  <w:style w:type="paragraph" w:styleId="281">
    <w:name w:val="List Paragraph"/>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282">
    <w:name w:val="Heading 5 Char1"/>
    <w:basedOn w:val="56"/>
    <w:link w:val="6"/>
    <w:qFormat/>
    <w:uiPriority w:val="0"/>
    <w:rPr>
      <w:rFonts w:hint="default" w:ascii="Arial" w:hAnsi="Arial" w:eastAsia="Times New Roman" w:cs="Arial"/>
      <w:sz w:val="22"/>
    </w:rPr>
  </w:style>
  <w:style w:type="character" w:customStyle="1" w:styleId="283">
    <w:name w:val="Heading 4 Char1"/>
    <w:basedOn w:val="56"/>
    <w:link w:val="5"/>
    <w:qFormat/>
    <w:uiPriority w:val="0"/>
    <w:rPr>
      <w:rFonts w:ascii="Calibri Light" w:hAnsi="Calibri Light" w:eastAsia="等线 Light" w:cs="Times New Roman"/>
      <w:b/>
      <w:sz w:val="28"/>
      <w:szCs w:val="28"/>
    </w:rPr>
  </w:style>
  <w:style w:type="character" w:customStyle="1" w:styleId="284">
    <w:name w:val="CR Cover Page Zchn"/>
    <w:link w:val="280"/>
    <w:uiPriority w:val="0"/>
    <w:rPr>
      <w:rFonts w:ascii="Arial" w:hAnsi="Arial"/>
      <w:sz w:val="21"/>
      <w:szCs w:val="22"/>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1E1DE-BE5F-4FB5-92E1-5E612346C18E}">
  <ds:schemaRefs/>
</ds:datastoreItem>
</file>

<file path=docProps/app.xml><?xml version="1.0" encoding="utf-8"?>
<Properties xmlns="http://schemas.openxmlformats.org/officeDocument/2006/extended-properties" xmlns:vt="http://schemas.openxmlformats.org/officeDocument/2006/docPropsVTypes">
  <Template>Normal</Template>
  <Pages>4</Pages>
  <Words>857</Words>
  <Characters>4891</Characters>
  <Lines>40</Lines>
  <Paragraphs>11</Paragraphs>
  <TotalTime>46</TotalTime>
  <ScaleCrop>false</ScaleCrop>
  <LinksUpToDate>false</LinksUpToDate>
  <CharactersWithSpaces>5737</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2018-11-02T00:03:00Z</dcterms:created>
  <dc:creator>10033860</dc:creator>
  <cp:lastModifiedBy>ZTE</cp:lastModifiedBy>
  <cp:lastPrinted>2113-01-01T00:00:00Z</cp:lastPrinted>
  <dcterms:modified xsi:type="dcterms:W3CDTF">2018-11-02T03:05:34Z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